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9F05E4" w:rsidRPr="00206446" w:rsidTr="00043FD7">
        <w:tc>
          <w:tcPr>
            <w:tcW w:w="7393" w:type="dxa"/>
            <w:shd w:val="clear" w:color="auto" w:fill="auto"/>
          </w:tcPr>
          <w:p w:rsidR="009F05E4" w:rsidRPr="00206446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9F05E4" w:rsidRPr="00206446" w:rsidRDefault="009F05E4" w:rsidP="004631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446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9F05E4" w:rsidRPr="00206446" w:rsidRDefault="008623C8" w:rsidP="004631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9F05E4" w:rsidRPr="002064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05E4">
              <w:rPr>
                <w:rFonts w:ascii="Times New Roman" w:hAnsi="Times New Roman"/>
                <w:sz w:val="28"/>
                <w:szCs w:val="28"/>
              </w:rPr>
              <w:t>муниципальной п</w:t>
            </w:r>
            <w:r w:rsidR="009F05E4" w:rsidRPr="00206446">
              <w:rPr>
                <w:rFonts w:ascii="Times New Roman" w:hAnsi="Times New Roman"/>
                <w:sz w:val="28"/>
                <w:szCs w:val="28"/>
              </w:rPr>
              <w:t xml:space="preserve">рограмме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 </w:t>
            </w:r>
            <w:r w:rsidR="009F05E4" w:rsidRPr="00206446">
              <w:rPr>
                <w:rFonts w:ascii="Times New Roman" w:hAnsi="Times New Roman"/>
                <w:sz w:val="28"/>
                <w:szCs w:val="28"/>
              </w:rPr>
              <w:t xml:space="preserve">«Культура </w:t>
            </w:r>
            <w:proofErr w:type="spellStart"/>
            <w:r w:rsidR="009F05E4" w:rsidRPr="00206446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="009F05E4" w:rsidRPr="0020644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</w:tbl>
    <w:p w:rsidR="009F05E4" w:rsidRDefault="009F05E4" w:rsidP="009F05E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F05E4" w:rsidRDefault="009F05E4" w:rsidP="009F05E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</w:t>
      </w:r>
    </w:p>
    <w:p w:rsidR="009F05E4" w:rsidRDefault="009F05E4" w:rsidP="006E1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>
        <w:rPr>
          <w:rFonts w:ascii="Times New Roman" w:hAnsi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 по муниципальной программе </w:t>
      </w:r>
      <w:proofErr w:type="spellStart"/>
      <w:r>
        <w:rPr>
          <w:rFonts w:ascii="Times New Roman" w:hAnsi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</w:t>
      </w:r>
      <w:r w:rsidR="008623C8">
        <w:rPr>
          <w:rFonts w:ascii="Times New Roman" w:hAnsi="Times New Roman"/>
          <w:sz w:val="28"/>
          <w:szCs w:val="28"/>
        </w:rPr>
        <w:t xml:space="preserve"> «Культура </w:t>
      </w:r>
      <w:proofErr w:type="spellStart"/>
      <w:r w:rsidR="008623C8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="008623C8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края»</w:t>
      </w:r>
      <w:bookmarkStart w:id="0" w:name="_GoBack"/>
      <w:bookmarkEnd w:id="0"/>
    </w:p>
    <w:p w:rsidR="009F05E4" w:rsidRDefault="009F05E4" w:rsidP="009F05E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713"/>
        <w:gridCol w:w="2330"/>
        <w:gridCol w:w="1559"/>
        <w:gridCol w:w="1417"/>
        <w:gridCol w:w="1490"/>
        <w:gridCol w:w="1561"/>
        <w:gridCol w:w="1561"/>
        <w:gridCol w:w="1561"/>
      </w:tblGrid>
      <w:tr w:rsidR="009F05E4" w:rsidRPr="006F06C4" w:rsidTr="00043FD7">
        <w:trPr>
          <w:trHeight w:val="1232"/>
        </w:trPr>
        <w:tc>
          <w:tcPr>
            <w:tcW w:w="594" w:type="dxa"/>
            <w:vMerge w:val="restart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F06C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F06C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713" w:type="dxa"/>
            <w:vMerge w:val="restart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Наименование муниципальной услуги (работы)</w:t>
            </w:r>
          </w:p>
        </w:tc>
        <w:tc>
          <w:tcPr>
            <w:tcW w:w="2330" w:type="dxa"/>
            <w:vMerge w:val="restart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Наименование показателя объема муниципальной услуги (работы)</w:t>
            </w:r>
          </w:p>
        </w:tc>
        <w:tc>
          <w:tcPr>
            <w:tcW w:w="4466" w:type="dxa"/>
            <w:gridSpan w:val="3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Значение показателя объема муниципальной услуги (работы) по годам</w:t>
            </w:r>
          </w:p>
        </w:tc>
        <w:tc>
          <w:tcPr>
            <w:tcW w:w="4683" w:type="dxa"/>
            <w:gridSpan w:val="3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 xml:space="preserve">Расходы бюджета </w:t>
            </w:r>
            <w:proofErr w:type="spellStart"/>
            <w:r w:rsidRPr="006F06C4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6F06C4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 на оказание муниципальной услуги (выполнение работ) по годам (тыс. рублей)</w:t>
            </w:r>
          </w:p>
        </w:tc>
      </w:tr>
      <w:tr w:rsidR="009F05E4" w:rsidRPr="006F06C4" w:rsidTr="00043FD7">
        <w:trPr>
          <w:trHeight w:val="223"/>
        </w:trPr>
        <w:tc>
          <w:tcPr>
            <w:tcW w:w="594" w:type="dxa"/>
            <w:vMerge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13" w:type="dxa"/>
            <w:vMerge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0" w:type="dxa"/>
            <w:vMerge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417" w:type="dxa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490" w:type="dxa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561" w:type="dxa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561" w:type="dxa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561" w:type="dxa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</w:tr>
      <w:tr w:rsidR="009F05E4" w:rsidRPr="006F06C4" w:rsidTr="00043FD7">
        <w:trPr>
          <w:trHeight w:val="223"/>
        </w:trPr>
        <w:tc>
          <w:tcPr>
            <w:tcW w:w="594" w:type="dxa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30" w:type="dxa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90" w:type="dxa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1" w:type="dxa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61" w:type="dxa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61" w:type="dxa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9F05E4" w:rsidRPr="006F06C4" w:rsidTr="00043FD7">
        <w:trPr>
          <w:trHeight w:val="223"/>
        </w:trPr>
        <w:tc>
          <w:tcPr>
            <w:tcW w:w="14786" w:type="dxa"/>
            <w:gridSpan w:val="9"/>
            <w:shd w:val="clear" w:color="auto" w:fill="auto"/>
          </w:tcPr>
          <w:p w:rsidR="009F05E4" w:rsidRPr="007B24A1" w:rsidRDefault="009F05E4" w:rsidP="00672A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A1">
              <w:rPr>
                <w:rFonts w:ascii="Times New Roman" w:hAnsi="Times New Roman"/>
                <w:sz w:val="28"/>
                <w:szCs w:val="28"/>
              </w:rPr>
              <w:t xml:space="preserve">Подпрограмма   «Библиотечное обслуживание населения </w:t>
            </w:r>
            <w:proofErr w:type="spellStart"/>
            <w:r w:rsidRPr="007B24A1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7B24A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</w:t>
            </w:r>
          </w:p>
        </w:tc>
      </w:tr>
      <w:tr w:rsidR="009F05E4" w:rsidRPr="006F06C4" w:rsidTr="00043FD7">
        <w:trPr>
          <w:trHeight w:val="223"/>
        </w:trPr>
        <w:tc>
          <w:tcPr>
            <w:tcW w:w="594" w:type="dxa"/>
            <w:shd w:val="clear" w:color="auto" w:fill="auto"/>
          </w:tcPr>
          <w:p w:rsidR="009F05E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13" w:type="dxa"/>
            <w:shd w:val="clear" w:color="auto" w:fill="auto"/>
          </w:tcPr>
          <w:p w:rsidR="009F05E4" w:rsidRDefault="009F05E4" w:rsidP="00463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по осуществлению библиотечного, библиографического и информационного обслуживания пользователей библиотеки.</w:t>
            </w:r>
          </w:p>
        </w:tc>
        <w:tc>
          <w:tcPr>
            <w:tcW w:w="2330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Пользователь всего:</w:t>
            </w:r>
          </w:p>
          <w:p w:rsidR="009F05E4" w:rsidRDefault="009F05E4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дети до 14 лет (человек)</w:t>
            </w:r>
          </w:p>
        </w:tc>
        <w:tc>
          <w:tcPr>
            <w:tcW w:w="1559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3416</w:t>
            </w:r>
          </w:p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</w:t>
            </w:r>
          </w:p>
        </w:tc>
        <w:tc>
          <w:tcPr>
            <w:tcW w:w="1417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3450</w:t>
            </w:r>
          </w:p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  <w:tc>
          <w:tcPr>
            <w:tcW w:w="1490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3467</w:t>
            </w:r>
          </w:p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809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3085,9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3224,76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3715,42</w:t>
            </w:r>
          </w:p>
        </w:tc>
      </w:tr>
      <w:tr w:rsidR="009F05E4" w:rsidRPr="006F06C4" w:rsidTr="00043FD7">
        <w:trPr>
          <w:trHeight w:val="223"/>
        </w:trPr>
        <w:tc>
          <w:tcPr>
            <w:tcW w:w="594" w:type="dxa"/>
            <w:shd w:val="clear" w:color="auto" w:fill="auto"/>
          </w:tcPr>
          <w:p w:rsidR="009F05E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13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по формированию и учету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фондов библиотеки</w:t>
            </w:r>
          </w:p>
        </w:tc>
        <w:tc>
          <w:tcPr>
            <w:tcW w:w="2330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Комплектование книжного фонда</w:t>
            </w:r>
          </w:p>
          <w:p w:rsidR="009F05E4" w:rsidRDefault="009F05E4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экзямпляр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650</w:t>
            </w:r>
          </w:p>
        </w:tc>
        <w:tc>
          <w:tcPr>
            <w:tcW w:w="1417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490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495,9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518,21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597,06</w:t>
            </w:r>
          </w:p>
        </w:tc>
      </w:tr>
      <w:tr w:rsidR="009F05E4" w:rsidRPr="006F06C4" w:rsidTr="00043FD7">
        <w:trPr>
          <w:trHeight w:val="223"/>
        </w:trPr>
        <w:tc>
          <w:tcPr>
            <w:tcW w:w="594" w:type="dxa"/>
            <w:shd w:val="clear" w:color="auto" w:fill="auto"/>
          </w:tcPr>
          <w:p w:rsidR="009F05E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713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библографической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обработки документов и организации  каталогов.</w:t>
            </w:r>
          </w:p>
        </w:tc>
        <w:tc>
          <w:tcPr>
            <w:tcW w:w="2330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электронного каталога</w:t>
            </w:r>
          </w:p>
          <w:p w:rsidR="009F05E4" w:rsidRDefault="009F05E4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(электронная запись)</w:t>
            </w:r>
          </w:p>
        </w:tc>
        <w:tc>
          <w:tcPr>
            <w:tcW w:w="1559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6600</w:t>
            </w:r>
          </w:p>
        </w:tc>
        <w:tc>
          <w:tcPr>
            <w:tcW w:w="1417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6600</w:t>
            </w:r>
          </w:p>
        </w:tc>
        <w:tc>
          <w:tcPr>
            <w:tcW w:w="1490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6600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335,4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354,49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422,0</w:t>
            </w:r>
          </w:p>
        </w:tc>
      </w:tr>
      <w:tr w:rsidR="009F05E4" w:rsidRPr="006F06C4" w:rsidTr="00043FD7">
        <w:trPr>
          <w:trHeight w:val="223"/>
        </w:trPr>
        <w:tc>
          <w:tcPr>
            <w:tcW w:w="594" w:type="dxa"/>
            <w:shd w:val="clear" w:color="auto" w:fill="auto"/>
          </w:tcPr>
          <w:p w:rsidR="009F05E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13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Методическая работа</w:t>
            </w:r>
          </w:p>
        </w:tc>
        <w:tc>
          <w:tcPr>
            <w:tcW w:w="2330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и издание методических материалов.</w:t>
            </w:r>
          </w:p>
          <w:p w:rsidR="009F05E4" w:rsidRDefault="009F05E4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(издание)</w:t>
            </w:r>
          </w:p>
          <w:p w:rsidR="009F05E4" w:rsidRDefault="009F05E4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90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370,97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383,24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429,32</w:t>
            </w:r>
          </w:p>
        </w:tc>
      </w:tr>
      <w:tr w:rsidR="009F05E4" w:rsidRPr="006F06C4" w:rsidTr="00043FD7">
        <w:trPr>
          <w:trHeight w:val="223"/>
        </w:trPr>
        <w:tc>
          <w:tcPr>
            <w:tcW w:w="14786" w:type="dxa"/>
            <w:gridSpan w:val="9"/>
            <w:shd w:val="clear" w:color="auto" w:fill="auto"/>
          </w:tcPr>
          <w:p w:rsidR="009F05E4" w:rsidRPr="007B24A1" w:rsidRDefault="009F05E4" w:rsidP="00454C7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4A1">
              <w:rPr>
                <w:rFonts w:ascii="Times New Roman" w:hAnsi="Times New Roman"/>
                <w:sz w:val="28"/>
                <w:szCs w:val="28"/>
              </w:rPr>
              <w:t>Подпрограмма   «Создание условий для обеспечения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      </w:r>
          </w:p>
        </w:tc>
      </w:tr>
      <w:tr w:rsidR="009F05E4" w:rsidRPr="006F06C4" w:rsidTr="00043FD7">
        <w:trPr>
          <w:trHeight w:val="223"/>
        </w:trPr>
        <w:tc>
          <w:tcPr>
            <w:tcW w:w="594" w:type="dxa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13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C1F">
              <w:rPr>
                <w:rFonts w:ascii="Times New Roman" w:hAnsi="Times New Roman"/>
                <w:sz w:val="24"/>
                <w:szCs w:val="24"/>
              </w:rPr>
              <w:t>Услуга по обеспечению ор</w:t>
            </w:r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r w:rsidRPr="00757C1F">
              <w:rPr>
                <w:rFonts w:ascii="Times New Roman" w:hAnsi="Times New Roman"/>
                <w:sz w:val="24"/>
                <w:szCs w:val="24"/>
              </w:rPr>
              <w:t xml:space="preserve">низации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57C1F">
              <w:rPr>
                <w:rFonts w:ascii="Times New Roman" w:hAnsi="Times New Roman"/>
                <w:sz w:val="24"/>
                <w:szCs w:val="24"/>
              </w:rPr>
              <w:t>твор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57C1F">
              <w:rPr>
                <w:rFonts w:ascii="Times New Roman" w:hAnsi="Times New Roman"/>
                <w:sz w:val="24"/>
                <w:szCs w:val="24"/>
              </w:rPr>
              <w:t>ческой</w:t>
            </w:r>
            <w:proofErr w:type="gramEnd"/>
            <w:r w:rsidRPr="00757C1F">
              <w:rPr>
                <w:rFonts w:ascii="Times New Roman" w:hAnsi="Times New Roman"/>
                <w:sz w:val="24"/>
                <w:szCs w:val="24"/>
              </w:rPr>
              <w:t xml:space="preserve"> деятельности населения</w:t>
            </w:r>
          </w:p>
        </w:tc>
        <w:tc>
          <w:tcPr>
            <w:tcW w:w="2330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C1F">
              <w:rPr>
                <w:rFonts w:ascii="Times New Roman" w:hAnsi="Times New Roman"/>
                <w:sz w:val="24"/>
                <w:szCs w:val="24"/>
              </w:rPr>
              <w:t>Число участников клубных формирований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(человек)</w:t>
            </w:r>
          </w:p>
        </w:tc>
        <w:tc>
          <w:tcPr>
            <w:tcW w:w="1559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417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490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2775,11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2875,01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3302,38</w:t>
            </w:r>
          </w:p>
        </w:tc>
      </w:tr>
      <w:tr w:rsidR="009F05E4" w:rsidRPr="006F06C4" w:rsidTr="00043FD7">
        <w:trPr>
          <w:trHeight w:val="223"/>
        </w:trPr>
        <w:tc>
          <w:tcPr>
            <w:tcW w:w="594" w:type="dxa"/>
            <w:shd w:val="clear" w:color="auto" w:fill="auto"/>
          </w:tcPr>
          <w:p w:rsidR="009F05E4" w:rsidRPr="006F06C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13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проведению фестивалей, выставок, смотров, конкурсов и иных зрелищных мероприятий силами учреждения</w:t>
            </w:r>
          </w:p>
        </w:tc>
        <w:tc>
          <w:tcPr>
            <w:tcW w:w="2330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культурн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массовых мероприятий </w:t>
            </w:r>
          </w:p>
          <w:p w:rsidR="009F05E4" w:rsidRPr="00757C1F" w:rsidRDefault="009F05E4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(число мероприятий)</w:t>
            </w:r>
          </w:p>
        </w:tc>
        <w:tc>
          <w:tcPr>
            <w:tcW w:w="1559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90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3223,75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3342,54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3863,15</w:t>
            </w:r>
          </w:p>
        </w:tc>
      </w:tr>
      <w:tr w:rsidR="009F05E4" w:rsidRPr="006F06C4" w:rsidTr="00043FD7">
        <w:trPr>
          <w:trHeight w:val="223"/>
        </w:trPr>
        <w:tc>
          <w:tcPr>
            <w:tcW w:w="14786" w:type="dxa"/>
            <w:gridSpan w:val="9"/>
            <w:shd w:val="clear" w:color="auto" w:fill="auto"/>
          </w:tcPr>
          <w:p w:rsidR="009F05E4" w:rsidRPr="007B24A1" w:rsidRDefault="009F05E4" w:rsidP="007B24A1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B24A1">
              <w:rPr>
                <w:rFonts w:ascii="Times New Roman" w:hAnsi="Times New Roman"/>
                <w:sz w:val="28"/>
                <w:szCs w:val="28"/>
              </w:rPr>
              <w:t xml:space="preserve">Подпрограмма    «Дополнительное образование детей </w:t>
            </w:r>
            <w:proofErr w:type="spellStart"/>
            <w:r w:rsidRPr="007B24A1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7B24A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  <w:tr w:rsidR="009F05E4" w:rsidRPr="006F06C4" w:rsidTr="00043FD7">
        <w:trPr>
          <w:trHeight w:val="223"/>
        </w:trPr>
        <w:tc>
          <w:tcPr>
            <w:tcW w:w="594" w:type="dxa"/>
            <w:shd w:val="clear" w:color="auto" w:fill="auto"/>
          </w:tcPr>
          <w:p w:rsidR="009F05E4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13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Дополнительное образование детей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 края</w:t>
            </w:r>
          </w:p>
        </w:tc>
        <w:tc>
          <w:tcPr>
            <w:tcW w:w="2330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Контингент учащихся</w:t>
            </w:r>
          </w:p>
        </w:tc>
        <w:tc>
          <w:tcPr>
            <w:tcW w:w="1559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417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490" w:type="dxa"/>
            <w:shd w:val="clear" w:color="auto" w:fill="auto"/>
          </w:tcPr>
          <w:p w:rsidR="009F05E4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8237,97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8486,14</w:t>
            </w:r>
          </w:p>
        </w:tc>
        <w:tc>
          <w:tcPr>
            <w:tcW w:w="1561" w:type="dxa"/>
            <w:shd w:val="clear" w:color="auto" w:fill="auto"/>
          </w:tcPr>
          <w:p w:rsidR="009F05E4" w:rsidRPr="00757C1F" w:rsidRDefault="009F05E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9535,5</w:t>
            </w:r>
          </w:p>
        </w:tc>
      </w:tr>
    </w:tbl>
    <w:p w:rsidR="009F05E4" w:rsidRDefault="009F05E4" w:rsidP="009F05E4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B2018" w:rsidRDefault="008B2018"/>
    <w:sectPr w:rsidR="008B2018" w:rsidSect="009F05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E4"/>
    <w:rsid w:val="00454C70"/>
    <w:rsid w:val="004631C2"/>
    <w:rsid w:val="005B353F"/>
    <w:rsid w:val="00672AB1"/>
    <w:rsid w:val="006E1411"/>
    <w:rsid w:val="007B24A1"/>
    <w:rsid w:val="008623C8"/>
    <w:rsid w:val="008B2018"/>
    <w:rsid w:val="009F05E4"/>
    <w:rsid w:val="00B0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2013-10-31T12:17:00Z</dcterms:created>
  <dcterms:modified xsi:type="dcterms:W3CDTF">2013-11-08T13:06:00Z</dcterms:modified>
</cp:coreProperties>
</file>